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CC" w:rsidRPr="00E33973" w:rsidRDefault="009E54CC" w:rsidP="009E54CC">
      <w:pPr>
        <w:keepNext/>
        <w:widowControl w:val="0"/>
        <w:spacing w:after="0" w:line="240" w:lineRule="auto"/>
        <w:contextualSpacing/>
        <w:jc w:val="center"/>
        <w:rPr>
          <w:rFonts w:ascii="Arial" w:hAnsi="Arial" w:cs="Arial"/>
          <w:b/>
          <w:spacing w:val="1"/>
          <w:sz w:val="24"/>
          <w:szCs w:val="24"/>
          <w:lang w:val="hr-HR"/>
        </w:rPr>
      </w:pPr>
      <w:r w:rsidRPr="00E33973">
        <w:rPr>
          <w:rFonts w:ascii="Arial" w:hAnsi="Arial" w:cs="Arial"/>
          <w:b/>
          <w:spacing w:val="1"/>
          <w:sz w:val="24"/>
          <w:szCs w:val="24"/>
          <w:lang w:val="hr-HR"/>
        </w:rPr>
        <w:t>INFORMACIJA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b/>
          <w:spacing w:val="1"/>
          <w:sz w:val="24"/>
          <w:szCs w:val="24"/>
          <w:lang w:val="hr-HR"/>
        </w:rPr>
        <w:t>o „AMANDMANIMA NA PRIJEDLOG ZAKONA O ŠUMAMA“ Federalnog ministarstva poljoprivrede, vodoprivrede i šumarstva</w:t>
      </w:r>
    </w:p>
    <w:p w:rsidR="009E54CC" w:rsidRPr="00E33973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 w:rsidRPr="00E33973">
        <w:rPr>
          <w:rFonts w:ascii="Arial" w:hAnsi="Arial" w:cs="Arial"/>
          <w:spacing w:val="1"/>
          <w:sz w:val="24"/>
          <w:szCs w:val="24"/>
          <w:lang w:val="hr-HR"/>
        </w:rPr>
        <w:t>Vlada Federacije Bosne i Hercegovine je na 110. sjednici održanoj 07.07.2017. godine u Sarajevu usvojila Prijedlog zakona o šumama i uputila ga u parlamentarnu proceduru.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33973">
        <w:rPr>
          <w:rFonts w:ascii="Arial" w:hAnsi="Arial" w:cs="Arial"/>
          <w:spacing w:val="1"/>
          <w:sz w:val="24"/>
          <w:szCs w:val="24"/>
          <w:lang w:val="hr-HR"/>
        </w:rPr>
        <w:t>25. sjednica Predstavničkog doma Parlamenta Federacije Bosne i Hercegovine bila je zakazana za 27.9.2021. godine, a na čijem dnevnom redu se nalazio Prijedlog zakona o šumama. Na prijedlog Vlade Federacije Bosne i Hercegovine, ova tačka dnevnog reda je odgođena za narednu sjednicu Predstavničkog doma Parlamenta Federacije Bosne i Hercegovine. Odgađanje je zatraženo obzirom da je nakon zakazivanja sjednice Predstavničkog doma sa ovom tačkom dnevnog reda pristigao određeni broj prijedloga za izmjenu Prijedloga zakona o šumama koje je potrebno razmotriti od strane Vlade Federacije Bosne i Hercegovine.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33973">
        <w:rPr>
          <w:rFonts w:ascii="Arial" w:hAnsi="Arial" w:cs="Arial"/>
          <w:spacing w:val="1"/>
          <w:sz w:val="24"/>
          <w:szCs w:val="24"/>
          <w:lang w:val="hr-HR"/>
        </w:rPr>
        <w:t>Na inicijativu</w:t>
      </w:r>
      <w:r w:rsidRPr="00E33973">
        <w:rPr>
          <w:rFonts w:ascii="Arial" w:hAnsi="Arial" w:cs="Arial"/>
          <w:b/>
          <w:spacing w:val="1"/>
          <w:sz w:val="24"/>
          <w:szCs w:val="24"/>
          <w:lang w:val="hr-HR"/>
        </w:rPr>
        <w:t xml:space="preserve"> </w:t>
      </w:r>
      <w:r w:rsidRPr="00E33973">
        <w:rPr>
          <w:rFonts w:ascii="Arial" w:hAnsi="Arial" w:cs="Arial"/>
          <w:spacing w:val="1"/>
          <w:sz w:val="24"/>
          <w:szCs w:val="24"/>
          <w:lang w:val="hr-HR"/>
        </w:rPr>
        <w:t xml:space="preserve">Federalnog ministarstva poljoprivrede, vodoprivrede i šumarstva i Odbora za poljoprivredu, vodoprivredu i šumarstvo Predstavničkog doma Parlamenta Federacije Bosne i Hercegovine, dana 8.10.2021. godine u sali Predstavničkog doma Parlamenta Federacije Bosne i Hercegovine, održana je još jedna javna rasprava u kojoj su učestvovali poslanici ovog doma, predstavnici kantonalnih ministarstava nadležnih za poslove šumarstva i druga </w:t>
      </w:r>
      <w:proofErr w:type="spellStart"/>
      <w:r w:rsidRPr="00E33973">
        <w:rPr>
          <w:rFonts w:ascii="Arial" w:hAnsi="Arial" w:cs="Arial"/>
          <w:spacing w:val="1"/>
          <w:sz w:val="24"/>
          <w:szCs w:val="24"/>
          <w:lang w:val="hr-HR"/>
        </w:rPr>
        <w:t>zainteresovana</w:t>
      </w:r>
      <w:proofErr w:type="spellEnd"/>
      <w:r w:rsidRPr="00E33973">
        <w:rPr>
          <w:rFonts w:ascii="Arial" w:hAnsi="Arial" w:cs="Arial"/>
          <w:spacing w:val="1"/>
          <w:sz w:val="24"/>
          <w:szCs w:val="24"/>
          <w:lang w:val="hr-HR"/>
        </w:rPr>
        <w:t xml:space="preserve"> lica. Tom prilikom data je mogućnost svim prisutnim da se izjasne o Prijedlogu zakona o šumama i iznesu svoje komentare i prijedloge u cilju njegovog poboljšanja.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>Federalno ministarstvo poljoprivrede, vodoprivrede i šumarstva je razmotrilo iznesene i naknadno dostavljene prijedloge</w:t>
      </w:r>
      <w:r w:rsidRPr="00E33973">
        <w:rPr>
          <w:rFonts w:ascii="Arial" w:hAnsi="Arial" w:cs="Arial"/>
          <w:spacing w:val="1"/>
          <w:sz w:val="24"/>
          <w:szCs w:val="24"/>
          <w:lang w:val="hr-HR"/>
        </w:rPr>
        <w:t xml:space="preserve"> i smatra da su pojedina predložena rješenja osnovana te, u cilju donošenja kvalitetnijeg zakona, Vladi Federacije Bosne i Hercegovine daje prijedlog amandmana na Prijedlog zakona o šumama kako bi se isti razmotrili i dostavili Predstavničkom domu Parlamenta Federacije Bosne i Hercegovine.</w:t>
      </w:r>
    </w:p>
    <w:p w:rsidR="009E54CC" w:rsidRPr="00E33973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I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3. stav (2) na početku rečenice riječ „Šumom“ zamjenjuje se riječima „Šumskim zemljištem“.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U ovom slučaju pojam „šumsko zemljište“ je precizniji te ga je potrebno uvrstiti umjesto pojma „šuma“.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/>
        </w:rPr>
        <w:t>AMANDMAN II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4. dodaje se nova tačka 32) koja glasi: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 xml:space="preserve">”32)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Šumskoprivredna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osnova je dugoročni planski akt kojim se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definiše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gospodarenje šumama na principu kontinuiteta gospodarenja šumama, polifunkcionalnosti i ekonomičnosti unutar jednog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područja za šume u vlasništvu </w:t>
      </w:r>
      <w:r w:rsidRPr="00E33973">
        <w:rPr>
          <w:rFonts w:ascii="Arial" w:hAnsi="Arial" w:cs="Arial"/>
          <w:sz w:val="24"/>
          <w:szCs w:val="24"/>
          <w:lang w:val="hr-HR"/>
        </w:rPr>
        <w:lastRenderedPageBreak/>
        <w:t xml:space="preserve">države, a  za šume u privatnom vlasništvu za područje općine. Sadrži podatke o stanju šuma i šumskih zemljišta, kao i planove koji će se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realizovati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u šumama u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uređajnom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periodu”.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Dosadašnje tačke 32), 33), 34), 35), 36) i 37) postaju tačke) 33), 34), 35), 36), 37) i 38).”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Obzirom da u prijedlogu zakona nije postojala definicija šumskoprivredne osnove, bilo je nužno istu ugraditi u ovaj član.</w:t>
      </w: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/>
        </w:rPr>
        <w:t>AMANDMAN III</w:t>
      </w: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6. stav (5) broj “20” zamjenjuje se brojem „30“.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Period od 20 godina je kratak period da bi došlo do promjena u biološkom smislu.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/>
        </w:rPr>
        <w:t>AMANDMAN IV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7. u stavu (1) riječ “deset” zamjenjuje se brojem „30“, a na kraju rečenice iza riječi “kantona ”dodaju se riječi “sa mogućnošću njegove revizije u skladu sa dinamikom realizacije izvedbenog dijela”.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Period od 10 godina je kratak period da bi došlo do promjena u biološkom smislu.</w:t>
      </w: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/>
        </w:rPr>
        <w:t>AMANDMAN V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sz w:val="24"/>
          <w:szCs w:val="24"/>
          <w:lang w:val="hr-HR"/>
        </w:rPr>
        <w:t>U članu 10. stav (4) mijenja se i glasi:“</w:t>
      </w:r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E33973">
        <w:rPr>
          <w:rFonts w:ascii="Arial" w:eastAsia="Times New Roman" w:hAnsi="Arial" w:cs="Arial"/>
          <w:bCs/>
          <w:iCs/>
          <w:lang w:val="hr-HR"/>
        </w:rPr>
        <w:t xml:space="preserve">Ukupan obim sječa predviđen </w:t>
      </w:r>
      <w:proofErr w:type="spellStart"/>
      <w:r w:rsidRPr="00E33973">
        <w:rPr>
          <w:rFonts w:ascii="Arial" w:eastAsia="Times New Roman" w:hAnsi="Arial" w:cs="Arial"/>
          <w:bCs/>
          <w:iCs/>
          <w:lang w:val="hr-HR"/>
        </w:rPr>
        <w:t>šumskoprivrednom</w:t>
      </w:r>
      <w:proofErr w:type="spellEnd"/>
      <w:r w:rsidRPr="00E33973">
        <w:rPr>
          <w:rFonts w:ascii="Arial" w:eastAsia="Times New Roman" w:hAnsi="Arial" w:cs="Arial"/>
          <w:bCs/>
          <w:iCs/>
          <w:lang w:val="hr-HR"/>
        </w:rPr>
        <w:t xml:space="preserve"> osnovom za </w:t>
      </w:r>
      <w:proofErr w:type="spellStart"/>
      <w:r w:rsidRPr="00E33973">
        <w:rPr>
          <w:rFonts w:ascii="Arial" w:eastAsia="Times New Roman" w:hAnsi="Arial" w:cs="Arial"/>
          <w:bCs/>
          <w:iCs/>
          <w:lang w:val="hr-HR"/>
        </w:rPr>
        <w:t>uređajni</w:t>
      </w:r>
      <w:proofErr w:type="spellEnd"/>
      <w:r w:rsidRPr="00E33973">
        <w:rPr>
          <w:rFonts w:ascii="Arial" w:eastAsia="Times New Roman" w:hAnsi="Arial" w:cs="Arial"/>
          <w:bCs/>
          <w:iCs/>
          <w:lang w:val="hr-HR"/>
        </w:rPr>
        <w:t xml:space="preserve"> period, po vrstama drveća, gazdinskim klasama i gospodarskim jedinicama, nije dozvoljeno prekoračiti</w:t>
      </w:r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Od ukupno planirane količine sječe za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uređajni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period, u okviru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područja, po gazdinskim klasama godišnje se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realizuje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prosječna godišnja količina sa dozvoljenim odstupanjem u visini relativne greške procjene </w:t>
      </w:r>
      <w:r w:rsidR="00CF79CB"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zapreminskog </w:t>
      </w:r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prirasta. Korisnik šuma dužan je u prvoj godini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uređajnog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perioda izraditi i usvojiti plan sječa po odjelima za cijeli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uređajni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period”.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Obzirom da se ovaj stav mijenja, potrebno je izmijeniti i član 84. stav (1) tačku a) u kojem se propisuje kaznena odredba za povredu ovog stava, pa bi tako član 84. stav (1) tačka a) glasila: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keepNext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„a)</w:t>
      </w:r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prekorači ukupan obim sječa predviđen </w:t>
      </w:r>
      <w:proofErr w:type="spellStart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šumskoprivrednom</w:t>
      </w:r>
      <w:proofErr w:type="spellEnd"/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osnovom </w:t>
      </w:r>
      <w:r w:rsidRPr="00E33973">
        <w:rPr>
          <w:rFonts w:ascii="Arial" w:eastAsia="Times New Roman" w:hAnsi="Arial" w:cs="Arial"/>
          <w:bCs/>
          <w:iCs/>
          <w:sz w:val="24"/>
          <w:szCs w:val="24"/>
          <w:lang w:val="hr-HR"/>
        </w:rPr>
        <w:t xml:space="preserve">po vrstama drveća i gazdinskim klasama ili za jednu godinu posiječe više od prosječne godišnje količine planirane sječe u okviru </w:t>
      </w:r>
      <w:proofErr w:type="spellStart"/>
      <w:r w:rsidRPr="00E33973">
        <w:rPr>
          <w:rFonts w:ascii="Arial" w:eastAsia="Times New Roman" w:hAnsi="Arial" w:cs="Arial"/>
          <w:bCs/>
          <w:iCs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eastAsia="Times New Roman" w:hAnsi="Arial" w:cs="Arial"/>
          <w:bCs/>
          <w:iCs/>
          <w:sz w:val="24"/>
          <w:szCs w:val="24"/>
          <w:lang w:val="hr-HR"/>
        </w:rPr>
        <w:t xml:space="preserve"> područja </w:t>
      </w:r>
      <w:r w:rsidRPr="00E33973">
        <w:rPr>
          <w:rFonts w:ascii="Arial" w:eastAsia="Times New Roman" w:hAnsi="Arial" w:cs="Arial"/>
          <w:bCs/>
          <w:sz w:val="24"/>
          <w:szCs w:val="24"/>
          <w:lang w:val="hr-HR"/>
        </w:rPr>
        <w:t>(član 10. stav 4.);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Potrebno je predvidjeti dozvoljeno odstupanje u skladu sa relativnom greškom procjene prilikom izrade šumskoprivredne osnove. Radi kvalitetnijeg planiranja i jednostavnijeg praćenja realizacije šumskoprivredne osnove u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uređajnom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Pr="00E33973">
        <w:rPr>
          <w:rFonts w:ascii="Arial" w:eastAsia="Calibri" w:hAnsi="Arial" w:cs="Arial"/>
          <w:sz w:val="24"/>
          <w:szCs w:val="24"/>
          <w:lang w:val="hr-HR"/>
        </w:rPr>
        <w:lastRenderedPageBreak/>
        <w:t xml:space="preserve">periodu bilo je potrebno propisati obavezu izrade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sjekoreda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(plana sječa po odjelima za deset godina).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/>
        </w:rPr>
        <w:t>AMANDMAN VI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sz w:val="24"/>
          <w:szCs w:val="24"/>
          <w:lang w:val="hr-HR"/>
        </w:rPr>
        <w:t>Član 11. stav (1) mijenja se i glasi: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</w:t>
      </w:r>
    </w:p>
    <w:p w:rsidR="009E54CC" w:rsidRPr="00E33973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</w:p>
    <w:p w:rsidR="009E54CC" w:rsidRPr="00E33973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“(1) </w:t>
      </w:r>
      <w:r w:rsidR="004B56E8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Do početka rada instituta za šumarstvo iz člana 99. ovog zakona, 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zradu šumskoprivredne osnove </w:t>
      </w:r>
      <w:r w:rsidR="004B56E8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za šume u vlasništvu države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može vršiti privredno društvo </w:t>
      </w:r>
      <w:r w:rsidR="004B56E8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u većinskom državnom vlasništvu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registrovano za obavljanje djelatnosti u šumarstvu koje u stalnom radnom odnosu ima najmanje pet diplomiranih inžinjera šumarstva/mastera šumarstva koji će raditi na izradi osnove, i to: a) za uzgajanje šuma, b) za uređivanje šuma, c) za zaštitu šuma, d) za iskorištavanje šuma i e) za ekonomiku u šumarstvu, sa radnim iskustvom na navedenim poslovima od najmanje pet godina nakon stečenog zvanja o završenoj visokoj stručnoj spremi, </w:t>
      </w:r>
      <w:r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>da posjeduje potrebnu opremu i ispunjava uslove propisane u pravilniku iz člana 19. stav (3) ovoga Zakona</w:t>
      </w:r>
      <w:r w:rsidR="00E37C27"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>, a za šume u privatnom vlasništvu</w:t>
      </w:r>
      <w:r w:rsidR="00E37C27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izradu šumskoprivredne osnovemože vršiti privredno društvo registrovano za obavljanje djelatnosti u šumarstvu koje u stalnom radnom odnosu ima najmanje pet diplomiranih inžinjera šumarstva/mastera šumarstva koji će raditi na izradi osnove, i to: a) za uzgajanje šuma, b) za uređivanje šuma, c) za zaštitu šuma, d) za iskorištavanje šuma i e) za ekonomiku u šumarstvu, sa radnim iskustvom na navedenim poslovima od najmanje pet godina nakon stečenog zvanja o završenoj visokoj stručnoj spremi, </w:t>
      </w:r>
      <w:r w:rsidR="00E37C27"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>da posjeduje potrebnu opremu i ispunjava uslove propisane u pravilniku iz člana 19. stav (3) ovoga Zakona</w:t>
      </w:r>
      <w:r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>.</w:t>
      </w:r>
      <w:r w:rsidR="004B56E8"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 xml:space="preserve"> Korisnik </w:t>
      </w:r>
      <w:r w:rsidR="00E37C27"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>šuma koji</w:t>
      </w:r>
      <w:r w:rsidR="004B56E8"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 xml:space="preserve"> ima saglasnost za izradu šumskoprivrednih osnova iz stava (2) ovog člana ne može izrađivati šumskoprivrednu osnovu za šumskoprivredno područje kojim gospodari.“</w:t>
      </w:r>
      <w:r w:rsidRPr="00E33973">
        <w:rPr>
          <w:rFonts w:ascii="Arial" w:eastAsia="Calibri" w:hAnsi="Arial" w:cs="Arial"/>
          <w:noProof/>
          <w:sz w:val="24"/>
          <w:szCs w:val="24"/>
          <w:lang w:val="hr-HR" w:eastAsia="hr-HR"/>
        </w:rPr>
        <w:t xml:space="preserve"> 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Obzirom da je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šumskoprivredna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osnova najvažniji dokument za gospodarenje šumama bilo je potrebno povećati broj izvršilaca koji će istu izrađivati te obuhvatiti sve oblasti bitne za izradu kvalitetne šumskoprivredne osnove.</w:t>
      </w:r>
      <w:r w:rsidR="004B56E8" w:rsidRPr="00E33973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F90DD3" w:rsidRPr="00E33973">
        <w:rPr>
          <w:rFonts w:ascii="Arial" w:eastAsia="Calibri" w:hAnsi="Arial" w:cs="Arial"/>
          <w:sz w:val="24"/>
          <w:szCs w:val="24"/>
          <w:lang w:val="hr-HR"/>
        </w:rPr>
        <w:t>Također, za šume u vlasništvu države potrebno je da šumskoprivredne osnove izrađuje privredno društvo u većinskom državnom vlasništvu.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 VII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11. u stavu (3) broj „120“ zamjenjuje se brojem „60“.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Zbog toga što se u posljednjoj godini važenja šumskoprivredne osnove moraju prikupiti podaci sa terena te obraditi i napisati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šumskoprivredna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osnova, bilo je potrebno ostaviti dovoljno vremena za ove obimne poslove, odnosno skratiti rok za izdavanje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saglasnosti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i za eventualne korekcije te dati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saglasnost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na istu. 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 xml:space="preserve">AMANDMAN 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>VII</w:t>
      </w:r>
      <w:r w:rsidRPr="00E33973">
        <w:rPr>
          <w:rFonts w:ascii="Arial" w:hAnsi="Arial" w:cs="Arial"/>
          <w:b/>
          <w:sz w:val="24"/>
          <w:szCs w:val="24"/>
          <w:lang w:val="hr-HR"/>
        </w:rPr>
        <w:t>I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15. u stavu (3) brišu se riječi: “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 xml:space="preserve">i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š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u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m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pacing w:val="2"/>
          <w:sz w:val="24"/>
          <w:szCs w:val="24"/>
          <w:lang w:val="hr-HR" w:eastAsia="hr-HR"/>
        </w:rPr>
        <w:t>k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pacing w:val="94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teh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n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č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ar</w:t>
      </w:r>
      <w:r w:rsidRPr="00E33973">
        <w:rPr>
          <w:rFonts w:ascii="Arial" w:eastAsia="Times New Roman" w:hAnsi="Arial" w:cs="Arial"/>
          <w:noProof/>
          <w:spacing w:val="98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sa na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j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m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nje</w:t>
      </w:r>
      <w:r w:rsidRPr="00E33973">
        <w:rPr>
          <w:rFonts w:ascii="Arial" w:eastAsia="Times New Roman" w:hAnsi="Arial" w:cs="Arial"/>
          <w:noProof/>
          <w:spacing w:val="4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deset</w:t>
      </w:r>
      <w:r w:rsidRPr="00E33973">
        <w:rPr>
          <w:rFonts w:ascii="Arial" w:eastAsia="Times New Roman" w:hAnsi="Arial" w:cs="Arial"/>
          <w:noProof/>
          <w:spacing w:val="5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god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na</w:t>
      </w:r>
      <w:r w:rsidRPr="00E33973">
        <w:rPr>
          <w:rFonts w:ascii="Arial" w:eastAsia="Times New Roman" w:hAnsi="Arial" w:cs="Arial"/>
          <w:noProof/>
          <w:spacing w:val="5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radnog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sku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tva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u</w:t>
      </w:r>
      <w:r w:rsidRPr="00E33973">
        <w:rPr>
          <w:rFonts w:ascii="Arial" w:eastAsia="Times New Roman" w:hAnsi="Arial" w:cs="Arial"/>
          <w:noProof/>
          <w:spacing w:val="8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t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ruci kojeg odredi korisnik šuma”.</w:t>
      </w: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Obzirom da se radi o važnim poslovima u šumarstvu za čije obavljanje je potreban veći stepen stručnosti, iste ne može obavljati šumarski tehničar.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E33973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E33973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 xml:space="preserve"> IX</w:t>
      </w:r>
    </w:p>
    <w:p w:rsidR="00DE5A12" w:rsidRPr="00E33973" w:rsidRDefault="00DE5A12" w:rsidP="00DE5A12">
      <w:pPr>
        <w:tabs>
          <w:tab w:val="left" w:pos="188"/>
        </w:tabs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ab/>
      </w:r>
    </w:p>
    <w:p w:rsidR="00DE5A12" w:rsidRPr="00E33973" w:rsidRDefault="00203370" w:rsidP="00DE5A12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13</w:t>
      </w:r>
      <w:r w:rsidR="00DE5A12" w:rsidRPr="00E33973">
        <w:rPr>
          <w:rFonts w:ascii="Arial" w:hAnsi="Arial" w:cs="Arial"/>
          <w:sz w:val="24"/>
          <w:szCs w:val="24"/>
          <w:lang w:val="hr-HR"/>
        </w:rPr>
        <w:t>. u stavu (9) na kraju rečenice dodaju se riječi:</w:t>
      </w:r>
      <w:r w:rsidR="00E33973">
        <w:rPr>
          <w:rFonts w:ascii="Arial" w:hAnsi="Arial" w:cs="Arial"/>
          <w:sz w:val="24"/>
          <w:szCs w:val="24"/>
          <w:lang w:val="hr-HR"/>
        </w:rPr>
        <w:t xml:space="preserve"> </w:t>
      </w:r>
      <w:r w:rsidR="00DE5A12" w:rsidRPr="00E33973">
        <w:rPr>
          <w:rFonts w:ascii="Arial" w:hAnsi="Arial" w:cs="Arial"/>
          <w:sz w:val="24"/>
          <w:szCs w:val="24"/>
          <w:lang w:val="hr-HR"/>
        </w:rPr>
        <w:t>“osim u slučaju propisanom u članu 26. stav (1) ovog zakona“.</w:t>
      </w:r>
    </w:p>
    <w:p w:rsidR="00DE5A12" w:rsidRPr="00E33973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E33973" w:rsidRDefault="00DE5A12" w:rsidP="00DE5A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Kada se dese nepogode uzrokovane biotičkim 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nebiotičkim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uticajima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radi se plan obnove propisan u članu 26. ovog zakona te je iz tog razloga bilo potrebno napraviti izuzetak u ovom članu.</w:t>
      </w:r>
    </w:p>
    <w:p w:rsidR="00DE5A12" w:rsidRPr="00E33973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E33973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 X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15. u stavu (9), u drugoj rečenici, brišu se riječi:“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 xml:space="preserve"> i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š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u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m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pacing w:val="2"/>
          <w:sz w:val="24"/>
          <w:szCs w:val="24"/>
          <w:lang w:val="hr-HR" w:eastAsia="hr-HR"/>
        </w:rPr>
        <w:t>k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pacing w:val="94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teh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n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č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ar</w:t>
      </w:r>
      <w:r w:rsidRPr="00E33973">
        <w:rPr>
          <w:rFonts w:ascii="Arial" w:eastAsia="Times New Roman" w:hAnsi="Arial" w:cs="Arial"/>
          <w:noProof/>
          <w:spacing w:val="98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sa na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j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m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nje</w:t>
      </w:r>
      <w:r w:rsidRPr="00E33973">
        <w:rPr>
          <w:rFonts w:ascii="Arial" w:eastAsia="Times New Roman" w:hAnsi="Arial" w:cs="Arial"/>
          <w:noProof/>
          <w:spacing w:val="4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deset</w:t>
      </w:r>
      <w:r w:rsidRPr="00E33973">
        <w:rPr>
          <w:rFonts w:ascii="Arial" w:eastAsia="Times New Roman" w:hAnsi="Arial" w:cs="Arial"/>
          <w:noProof/>
          <w:spacing w:val="5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god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na</w:t>
      </w:r>
      <w:r w:rsidRPr="00E33973">
        <w:rPr>
          <w:rFonts w:ascii="Arial" w:eastAsia="Times New Roman" w:hAnsi="Arial" w:cs="Arial"/>
          <w:noProof/>
          <w:spacing w:val="5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radnog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sku</w:t>
      </w:r>
      <w:r w:rsidRPr="00E33973">
        <w:rPr>
          <w:rFonts w:ascii="Arial" w:eastAsia="Times New Roman" w:hAnsi="Arial" w:cs="Arial"/>
          <w:noProof/>
          <w:spacing w:val="1"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tva</w:t>
      </w:r>
      <w:r w:rsidRPr="00E33973">
        <w:rPr>
          <w:rFonts w:ascii="Arial" w:eastAsia="Times New Roman" w:hAnsi="Arial" w:cs="Arial"/>
          <w:noProof/>
          <w:spacing w:val="3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u</w:t>
      </w:r>
      <w:r w:rsidRPr="00E33973">
        <w:rPr>
          <w:rFonts w:ascii="Arial" w:eastAsia="Times New Roman" w:hAnsi="Arial" w:cs="Arial"/>
          <w:noProof/>
          <w:spacing w:val="8"/>
          <w:sz w:val="24"/>
          <w:szCs w:val="24"/>
          <w:lang w:val="hr-HR" w:eastAsia="hr-HR"/>
        </w:rPr>
        <w:t xml:space="preserve">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s</w:t>
      </w:r>
      <w:r w:rsidRPr="00E33973">
        <w:rPr>
          <w:rFonts w:ascii="Arial" w:eastAsia="Times New Roman" w:hAnsi="Arial" w:cs="Arial"/>
          <w:noProof/>
          <w:spacing w:val="-1"/>
          <w:sz w:val="24"/>
          <w:szCs w:val="24"/>
          <w:lang w:val="hr-HR" w:eastAsia="hr-HR"/>
        </w:rPr>
        <w:t>t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ruci kojeg odredi korisnik šuma”.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Obzirom da se radi o važnim poslovima u šumarstvu za čije obavljanje je potreban veći stepen stručnosti, iste ne može obavljati šumarski tehničar.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 XI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17. u stavu (1) briše se riječ „minimalnom“.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istom članu u stavu (2) u tački h) iza riječi „sječu“ dodaju se riječi „i izrada projekta za izvođenje radova“, a nakon tačke k) dodaje se tačka l) koja glasi: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„l) pošumljavanje površina nastalih nakon golih sječa,“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Obzirom da u šumskogospodarskoj osnovi nije propisan minimalni obim poslova biološke obnove šuma, nego obim koji su korisnici šuma dužni izvršiti u toku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uređajnog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perioda riječ „minimalnom“ je suvišna. Također, dodani poslovi se smatraju poslovima biološke reprodukcije šuma.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E33973" w:rsidRDefault="00DE5A12" w:rsidP="00DE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 xml:space="preserve"> XII</w:t>
      </w:r>
    </w:p>
    <w:p w:rsidR="00DE5A12" w:rsidRPr="00E33973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E33973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E33973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18. stav (4) mijenja se i glasi:</w:t>
      </w:r>
    </w:p>
    <w:p w:rsidR="00DE5A12" w:rsidRPr="00E33973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E33973" w:rsidRDefault="00DE5A12" w:rsidP="00DE5A12">
      <w:pPr>
        <w:keepNext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(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>4</w:t>
      </w: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 xml:space="preserve">)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Komisija za tehnički prijem radova sastoji se od najmanje </w:t>
      </w:r>
      <w:r w:rsidR="00685511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tri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člana koju obavezno čine </w:t>
      </w:r>
      <w:r w:rsidR="00685511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tri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diplomirana inžinjera šumarstva/mastera šumarstva, i to: najmanje </w:t>
      </w:r>
      <w:r w:rsidR="00685511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dva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predstavnik</w:t>
      </w:r>
      <w:r w:rsidR="00685511"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kantonalne uprave i jedan predstavnik korisnika šuma/vlasnika šume u privatnom vlasništvu koji je izradio projekat. Realizator projekta ne može biti član komisije.</w:t>
      </w:r>
    </w:p>
    <w:p w:rsidR="00DE5A12" w:rsidRPr="00E33973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E33973" w:rsidRDefault="00F90DD3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lastRenderedPageBreak/>
        <w:t>Obrazloženje: Potrebno je povećati broj stručnih osoba koje će izvršiti tehnički prijem radova.</w:t>
      </w:r>
    </w:p>
    <w:p w:rsidR="00685511" w:rsidRPr="00E33973" w:rsidRDefault="00685511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85511" w:rsidRPr="00E33973" w:rsidRDefault="00685511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 xml:space="preserve"> XIII</w:t>
      </w:r>
    </w:p>
    <w:p w:rsidR="00685511" w:rsidRPr="00E33973" w:rsidRDefault="00685511" w:rsidP="006855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E33973" w:rsidRDefault="00685511" w:rsidP="00685511">
      <w:pPr>
        <w:tabs>
          <w:tab w:val="left" w:pos="250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30. stav (1) tačka e) na kraju tačke, iza riječi „stručnjaka“ dodaju se riječi „i prašume“.</w:t>
      </w:r>
    </w:p>
    <w:p w:rsidR="00685511" w:rsidRPr="00E33973" w:rsidRDefault="00685511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E33973" w:rsidRDefault="00F90DD3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</w:t>
      </w:r>
    </w:p>
    <w:p w:rsidR="00F90DD3" w:rsidRPr="00E33973" w:rsidRDefault="00F90DD3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XIV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U članu 32.  stavovi (1) i (2) mijenjaju se i glase: </w:t>
      </w:r>
    </w:p>
    <w:p w:rsidR="009E54CC" w:rsidRPr="00E33973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„(1)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Šume i šumska zemljišta na kršu, 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izvan granica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područja,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zbog svojih specifičnosti, klasificiraju se kao područja sa posebnim režimom gospodarenja. </w:t>
      </w:r>
    </w:p>
    <w:p w:rsidR="009E54CC" w:rsidRPr="00E33973" w:rsidRDefault="009E54CC" w:rsidP="009E54CC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Granice </w:t>
      </w:r>
      <w:r w:rsidRPr="00E33973">
        <w:rPr>
          <w:rFonts w:ascii="Arial" w:hAnsi="Arial" w:cs="Arial"/>
          <w:sz w:val="24"/>
          <w:szCs w:val="24"/>
          <w:lang w:val="hr-HR"/>
        </w:rPr>
        <w:t>šume i šumskog zemljišta iz stava (1) ovog člana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 xml:space="preserve"> utvrdit će se posebnim zakonom o kršu koji donosi Parlament Federacije BiH“. </w:t>
      </w:r>
    </w:p>
    <w:p w:rsidR="009E54CC" w:rsidRPr="00E33973" w:rsidRDefault="009E54CC" w:rsidP="009E54CC">
      <w:pPr>
        <w:tabs>
          <w:tab w:val="left" w:pos="375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Obzirom da postoje šume na kršu koje su uključene u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šumskoprivredna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područja i njima se gospodari na ekonomski održivoj osnovi neophodno je bilo propisati da se šume i šumska zemljišta izvan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područja klasificiraju kao područje sa posebnim režimom gospodarenja.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XV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33. u stavu (1) na početku rečenice riječi: „Gospodarenje šumama na kršu“ zamjenjuju se riječima: „Do donošenja zakona o kršu iz člana 32. stav (2) ovog zakona, gospodarenje šumama iz člana 32. stav (1) ovog zakona“.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Bilo je potrebno dodati navedeni tekst obzirom da bi donošenjem zakona o kršu ovaj član bio u koliziji sa članom 32. ovog zakona.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XV</w:t>
      </w:r>
      <w:r w:rsidR="00A453A8" w:rsidRPr="00E33973">
        <w:rPr>
          <w:rFonts w:ascii="Arial" w:eastAsia="Calibri" w:hAnsi="Arial" w:cs="Arial"/>
          <w:b/>
          <w:sz w:val="24"/>
          <w:szCs w:val="24"/>
          <w:lang w:val="hr-HR"/>
        </w:rPr>
        <w:t>I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Član 38. mijenja se i glasi: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Član 38.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(Praćenje zdravstvenog stanja šuma i stepena oštećenosti šumskih ekosistema)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(1) Federalna uprava, kantonalna uprava i korisnik šuma prate zdravstveno stanja šuma te </w:t>
      </w:r>
      <w:r w:rsidRPr="00E33973">
        <w:rPr>
          <w:rFonts w:ascii="Arial" w:eastAsia="Times New Roman" w:hAnsi="Arial" w:cs="Arial"/>
          <w:sz w:val="24"/>
          <w:szCs w:val="24"/>
          <w:lang w:val="hr-HR"/>
        </w:rPr>
        <w:t>stanje i stepen oštećenosti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šuma.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(2) Kantonalna uprava objedinjava sve podatke o zdravstvenom stanju šuma i stanju 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stepenu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oštećenosti šuma na nivou kantona te o tome izvještavaju Federalnu upravu, jedinice lokalne samouprave i javnost.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(3) Federalna uprava provodi izvještajno-prognozne poslove u šumarstvu te u okviru tih poslova propisuje i mjere za suzbijanje štetnih organizama. Federalna uprava, kantonalna uprava i korisnik šuma obavljaju poslove u oblasti zdravstvenog stanja </w:t>
      </w:r>
      <w:r w:rsidRPr="00E33973">
        <w:rPr>
          <w:rFonts w:ascii="Arial" w:eastAsia="Calibri" w:hAnsi="Arial" w:cs="Arial"/>
          <w:sz w:val="24"/>
          <w:szCs w:val="24"/>
          <w:lang w:val="hr-HR"/>
        </w:rPr>
        <w:lastRenderedPageBreak/>
        <w:t>šuma propisane odredbama Zakona o zaštiti zdravlja bilja („Službeni glasnik BiH“, broj: 23/03).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(4) Federalni ministar donosi pravilnik kojim se određuje način praćenja zdravstvenog stanja šuma, </w:t>
      </w:r>
      <w:r w:rsidRPr="00E33973">
        <w:rPr>
          <w:rFonts w:ascii="Arial" w:eastAsia="Times New Roman" w:hAnsi="Arial" w:cs="Arial"/>
          <w:sz w:val="24"/>
          <w:szCs w:val="24"/>
          <w:lang w:val="hr-HR"/>
        </w:rPr>
        <w:t>stanja i stepena oštećenosti šuma,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način obavljanja zdravstvene zaštite šuma i način izvještavanja.</w:t>
      </w:r>
      <w:r w:rsidRPr="00E33973">
        <w:rPr>
          <w:rFonts w:ascii="Arial" w:eastAsia="Calibri" w:hAnsi="Arial" w:cs="Arial"/>
          <w:sz w:val="24"/>
          <w:szCs w:val="24"/>
          <w:lang w:val="hr-HR"/>
        </w:rPr>
        <w:cr/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Izmjenom ovog člana potrebno je izmijeniti i član 101. stav (1) tačku 12) koja glasi: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„12. Pravilnik o načinu praćenja zdravstvenog stanja šuma, </w:t>
      </w:r>
      <w:r w:rsidRPr="00E33973">
        <w:rPr>
          <w:rFonts w:ascii="Arial" w:eastAsia="Times New Roman" w:hAnsi="Arial" w:cs="Arial"/>
          <w:sz w:val="24"/>
          <w:szCs w:val="24"/>
          <w:lang w:val="hr-HR"/>
        </w:rPr>
        <w:t>stanja i stepena oštećenosti šuma,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način obavljanja zdravstvene zaštite šuma i način izvještavanja.“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Zbog boljeg praćenja zdravstvenog stanja šuma potrebno je propisati obaveze Federalne uprave za šumarstvo u provođenju izvještajno-prognoznih poslova u šumarstvu. Navedeno je potrebno da bi se ovo pitanje detaljno uredilo pravilnikom iz stava (4) ovog člana obzirom da u Prijedlogu zakona nije navedena obaveza praćenja stanja i stepena oštećenosti šuma. </w:t>
      </w: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AMANDMAN XV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>II</w:t>
      </w: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33973">
        <w:rPr>
          <w:rFonts w:ascii="Arial" w:hAnsi="Arial" w:cs="Arial"/>
          <w:bCs/>
          <w:sz w:val="24"/>
          <w:szCs w:val="24"/>
          <w:lang w:val="hr-HR"/>
        </w:rPr>
        <w:t>U članu 44. dodaje se novi stav (5) koji glasi:</w:t>
      </w:r>
    </w:p>
    <w:p w:rsidR="009E54CC" w:rsidRPr="00E33973" w:rsidRDefault="009E54CC" w:rsidP="009E54CC">
      <w:pPr>
        <w:pStyle w:val="ListParagraph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9E54CC" w:rsidRPr="00E33973" w:rsidRDefault="009E54CC" w:rsidP="009E54CC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33973">
        <w:rPr>
          <w:rFonts w:ascii="Arial" w:hAnsi="Arial" w:cs="Arial"/>
          <w:bCs/>
          <w:sz w:val="24"/>
          <w:szCs w:val="24"/>
          <w:lang w:val="hr-HR"/>
        </w:rPr>
        <w:t xml:space="preserve">„(5) U šumi i na šumskom zemljištu dozvoljeno je obilježavati planinarske staze, uz prethodno pribavljenu </w:t>
      </w:r>
      <w:proofErr w:type="spellStart"/>
      <w:r w:rsidRPr="00E33973">
        <w:rPr>
          <w:rFonts w:ascii="Arial" w:hAnsi="Arial" w:cs="Arial"/>
          <w:bCs/>
          <w:sz w:val="24"/>
          <w:szCs w:val="24"/>
          <w:lang w:val="hr-HR"/>
        </w:rPr>
        <w:t>saglasnost</w:t>
      </w:r>
      <w:proofErr w:type="spellEnd"/>
      <w:r w:rsidRPr="00E33973">
        <w:rPr>
          <w:rFonts w:ascii="Arial" w:hAnsi="Arial" w:cs="Arial"/>
          <w:bCs/>
          <w:sz w:val="24"/>
          <w:szCs w:val="24"/>
          <w:lang w:val="hr-HR"/>
        </w:rPr>
        <w:t xml:space="preserve"> korisnika šuma. U </w:t>
      </w:r>
      <w:proofErr w:type="spellStart"/>
      <w:r w:rsidRPr="00E33973">
        <w:rPr>
          <w:rFonts w:ascii="Arial" w:hAnsi="Arial" w:cs="Arial"/>
          <w:bCs/>
          <w:sz w:val="24"/>
          <w:szCs w:val="24"/>
          <w:lang w:val="hr-HR"/>
        </w:rPr>
        <w:t>saglasnosti</w:t>
      </w:r>
      <w:proofErr w:type="spellEnd"/>
      <w:r w:rsidRPr="00E33973">
        <w:rPr>
          <w:rFonts w:ascii="Arial" w:hAnsi="Arial" w:cs="Arial"/>
          <w:bCs/>
          <w:sz w:val="24"/>
          <w:szCs w:val="24"/>
          <w:lang w:val="hr-HR"/>
        </w:rPr>
        <w:t xml:space="preserve"> koju daje korisnik šuma obavezno se navodi lokalitet kroz koji staza prolazi sa koordinatama </w:t>
      </w:r>
      <w:proofErr w:type="spellStart"/>
      <w:r w:rsidRPr="00E33973">
        <w:rPr>
          <w:rFonts w:ascii="Arial" w:hAnsi="Arial" w:cs="Arial"/>
          <w:bCs/>
          <w:sz w:val="24"/>
          <w:szCs w:val="24"/>
          <w:lang w:val="hr-HR"/>
        </w:rPr>
        <w:t>prelomnih</w:t>
      </w:r>
      <w:proofErr w:type="spellEnd"/>
      <w:r w:rsidRPr="00E33973">
        <w:rPr>
          <w:rFonts w:ascii="Arial" w:hAnsi="Arial" w:cs="Arial"/>
          <w:bCs/>
          <w:sz w:val="24"/>
          <w:szCs w:val="24"/>
          <w:lang w:val="hr-HR"/>
        </w:rPr>
        <w:t xml:space="preserve"> tačaka.“ </w:t>
      </w: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Dopuna člana je izvršena da bi se omogućilo sigurnije kretanje trećih lica kroz šumu i sprječavanje eventualnih nesporazuma sa korisnikom šuma.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973">
        <w:rPr>
          <w:rFonts w:ascii="Arial" w:hAnsi="Arial" w:cs="Arial"/>
          <w:b/>
          <w:sz w:val="24"/>
          <w:szCs w:val="24"/>
          <w:lang w:val="hr-HR"/>
        </w:rPr>
        <w:t>AMANDMAN XVI</w:t>
      </w:r>
      <w:r w:rsidR="00A453A8" w:rsidRPr="00E33973">
        <w:rPr>
          <w:rFonts w:ascii="Arial" w:hAnsi="Arial" w:cs="Arial"/>
          <w:b/>
          <w:sz w:val="24"/>
          <w:szCs w:val="24"/>
          <w:lang w:val="hr-HR"/>
        </w:rPr>
        <w:t>II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 xml:space="preserve">U članu 50. stav (2) u prvoj rečenici brišu se riječi „,kao i putem zamjene zemljišta“ te se u ovom stavu brišu i druga i treća rečenica. 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ovom članu briše se stav (7).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U članu 101. stav (1) briše se tačka 14. Dosadašnje tačke:15., 16., 17., 18., 19., 20., 21. i 22 postaju tačke: 14., 15., 16., 17., 18., 19., 20. i 21.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Obrazloženje: Smatramo da je promet šuma u vlasništvu države moguće vršiti samo u svrhu arondacije i komasacije.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90E79" w:rsidRPr="00E33973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</w:t>
      </w:r>
      <w:r w:rsidR="00A453A8" w:rsidRPr="00E33973">
        <w:rPr>
          <w:rFonts w:ascii="Arial" w:eastAsia="Calibri" w:hAnsi="Arial" w:cs="Arial"/>
          <w:b/>
          <w:sz w:val="24"/>
          <w:szCs w:val="24"/>
          <w:lang w:val="hr-HR"/>
        </w:rPr>
        <w:t xml:space="preserve"> XIX</w:t>
      </w:r>
    </w:p>
    <w:p w:rsidR="00790E79" w:rsidRPr="00E33973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90E79" w:rsidRPr="00E33973" w:rsidRDefault="00790E79" w:rsidP="00790E79">
      <w:pPr>
        <w:spacing w:after="0" w:line="240" w:lineRule="auto"/>
        <w:jc w:val="both"/>
        <w:rPr>
          <w:rFonts w:ascii="Tahoma" w:hAnsi="Tahoma" w:cs="Tahoma"/>
          <w:lang w:val="hr-HR"/>
        </w:rPr>
      </w:pPr>
      <w:r w:rsidRPr="00E33973">
        <w:rPr>
          <w:rFonts w:ascii="Tahoma" w:hAnsi="Tahoma" w:cs="Tahoma"/>
          <w:lang w:val="hr-HR"/>
        </w:rPr>
        <w:t>U članu 65. dodaje se novi stav (3) koji glasi:</w:t>
      </w:r>
    </w:p>
    <w:p w:rsidR="00790E79" w:rsidRPr="00E33973" w:rsidRDefault="00790E79" w:rsidP="00790E79">
      <w:pPr>
        <w:spacing w:after="0" w:line="240" w:lineRule="auto"/>
        <w:jc w:val="both"/>
        <w:rPr>
          <w:rFonts w:ascii="Tahoma" w:hAnsi="Tahoma" w:cs="Tahoma"/>
          <w:lang w:val="hr-HR"/>
        </w:rPr>
      </w:pPr>
    </w:p>
    <w:p w:rsidR="00790E79" w:rsidRPr="00E33973" w:rsidRDefault="00790E79" w:rsidP="00790E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Tahoma" w:hAnsi="Tahoma" w:cs="Tahoma"/>
          <w:lang w:val="hr-HR"/>
        </w:rPr>
        <w:t>“(3) Za direktora uprave za šumarstvo može se imenovati osoba koja ima završen šumarski fakultet (diplomirani inženjer šumarstva/</w:t>
      </w:r>
      <w:proofErr w:type="spellStart"/>
      <w:r w:rsidRPr="00E33973">
        <w:rPr>
          <w:rFonts w:ascii="Tahoma" w:hAnsi="Tahoma" w:cs="Tahoma"/>
          <w:lang w:val="hr-HR"/>
        </w:rPr>
        <w:t>master</w:t>
      </w:r>
      <w:proofErr w:type="spellEnd"/>
      <w:r w:rsidRPr="00E33973">
        <w:rPr>
          <w:rFonts w:ascii="Tahoma" w:hAnsi="Tahoma" w:cs="Tahoma"/>
          <w:lang w:val="hr-HR"/>
        </w:rPr>
        <w:t xml:space="preserve"> šumarstva</w:t>
      </w:r>
      <w:r w:rsidR="004B5944" w:rsidRPr="00E33973">
        <w:rPr>
          <w:rFonts w:ascii="Tahoma" w:hAnsi="Tahoma" w:cs="Tahoma"/>
          <w:lang w:val="hr-HR"/>
        </w:rPr>
        <w:t>)</w:t>
      </w:r>
      <w:r w:rsidRPr="00E33973">
        <w:rPr>
          <w:rFonts w:ascii="Tahoma" w:hAnsi="Tahoma" w:cs="Tahoma"/>
          <w:lang w:val="hr-HR"/>
        </w:rPr>
        <w:t xml:space="preserve"> i najmanje pet godina radnog iskustva u struci nakon završenog visokog obrazovanja.”</w:t>
      </w:r>
    </w:p>
    <w:p w:rsidR="00790E79" w:rsidRPr="00E33973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90E79" w:rsidRPr="00E33973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66. stav (2) tačka u) mijenja se i glasi: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“u) </w:t>
      </w:r>
      <w:r w:rsidRPr="00E33973">
        <w:rPr>
          <w:rFonts w:ascii="Arial" w:eastAsia="Times New Roman" w:hAnsi="Arial" w:cs="Arial"/>
          <w:noProof/>
          <w:sz w:val="24"/>
          <w:szCs w:val="24"/>
          <w:lang w:val="hr-HR" w:eastAsia="hr-HR"/>
        </w:rPr>
        <w:t>obavlja poslove iz člana 67. stav (8) tač. b), c), d), e), k), l), m) i n) ovoga Zakona za šume i šumsko zemljište u privatnom vlasništvu;</w:t>
      </w:r>
      <w:r w:rsidRPr="00E33973">
        <w:rPr>
          <w:rFonts w:ascii="Arial" w:eastAsia="Calibri" w:hAnsi="Arial" w:cs="Arial"/>
          <w:sz w:val="24"/>
          <w:szCs w:val="24"/>
          <w:lang w:val="hr-HR"/>
        </w:rPr>
        <w:t>“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U Prijedlogu zakona u članu 66. stav (2) tačka u) izostavljena je tačka b) iz člana 67. stav (8), a koja se odnosi na evidentiranje nezakonito posječenih stabala u propisane obrasce, njihovo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obrojčavanje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i obavezu žigosanja šumskim čekićem šumske štete.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9E54CC" w:rsidRPr="00E33973">
        <w:rPr>
          <w:rFonts w:ascii="Arial" w:eastAsia="Calibri" w:hAnsi="Arial" w:cs="Arial"/>
          <w:b/>
          <w:sz w:val="24"/>
          <w:szCs w:val="24"/>
          <w:lang w:val="hr-HR"/>
        </w:rPr>
        <w:t>I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67. stavovi (2) i (3) mijenjaju se i glase: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5705F4" w:rsidP="009E54CC">
      <w:pPr>
        <w:keepNext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hr-HR" w:eastAsia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„</w:t>
      </w:r>
      <w:r w:rsidR="009E54CC" w:rsidRPr="00E33973">
        <w:rPr>
          <w:rFonts w:ascii="Arial" w:eastAsia="Calibri" w:hAnsi="Arial" w:cs="Arial"/>
          <w:sz w:val="24"/>
          <w:szCs w:val="24"/>
          <w:lang w:val="hr-HR"/>
        </w:rPr>
        <w:t xml:space="preserve">(2) </w:t>
      </w:r>
      <w:r w:rsidR="009E54CC" w:rsidRPr="00E33973">
        <w:rPr>
          <w:rFonts w:ascii="Arial" w:hAnsi="Arial" w:cs="Arial"/>
          <w:noProof/>
          <w:sz w:val="24"/>
          <w:szCs w:val="24"/>
          <w:lang w:val="hr-HR"/>
        </w:rPr>
        <w:t>Korisnik šuma dužan je</w:t>
      </w:r>
      <w:r w:rsidR="00921754" w:rsidRPr="00E33973">
        <w:rPr>
          <w:rFonts w:ascii="Arial" w:hAnsi="Arial" w:cs="Arial"/>
          <w:noProof/>
          <w:sz w:val="24"/>
          <w:szCs w:val="24"/>
          <w:lang w:val="hr-HR"/>
        </w:rPr>
        <w:t xml:space="preserve"> nadoknaditi štetu u iznosu </w:t>
      </w:r>
      <w:r w:rsidR="009E54CC" w:rsidRPr="00E33973">
        <w:rPr>
          <w:rFonts w:ascii="Arial" w:hAnsi="Arial" w:cs="Arial"/>
          <w:noProof/>
          <w:sz w:val="24"/>
          <w:szCs w:val="24"/>
          <w:lang w:val="hr-HR"/>
        </w:rPr>
        <w:t>cijene drveta na panju koja je nastala nezakonitom sječom na području koje mu je dato na gospodarenje ukoliko je počinilac bespravne radnje nepoznat i/ili ukoliko šteta nije evidentirana u propisane obrasce i žigosana i obrojčana šumarskim čekićem. Korisnik šume naplaćuje nastalu štetu od bespravnog počinioca po odštetnom cjenovniku iz člana 27. stav (12) ovoga Zakona.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(3) </w:t>
      </w:r>
      <w:r w:rsidRPr="00E33973">
        <w:rPr>
          <w:rFonts w:ascii="Arial" w:hAnsi="Arial" w:cs="Arial"/>
          <w:sz w:val="24"/>
          <w:szCs w:val="24"/>
          <w:lang w:val="hr-HR"/>
        </w:rPr>
        <w:t>Kantonalni šumarski inspektor, na osnovu izvještaja korisnika šuma o bespravnim sječama, koji je dužan isti dostaviti do 15. u mjesecu za prethodni mjesec, donosi rješenje o naknadi štete iz stava (2) ovog člana. Korisnik šuma je dužan uplatiti štetu na namjenski račun Federacije BiH u iznosu od 50% i namjenski račun kantona u iznosu od 50%, u roku od mjesec dana od dana konačnosti rješenja inspektora.</w:t>
      </w:r>
      <w:r w:rsidR="00536E36" w:rsidRPr="00E33973">
        <w:rPr>
          <w:rFonts w:ascii="Arial" w:hAnsi="Arial" w:cs="Arial"/>
          <w:sz w:val="24"/>
          <w:szCs w:val="24"/>
          <w:lang w:val="hr-HR"/>
        </w:rPr>
        <w:t xml:space="preserve"> Ako korisnik šuma u propisanom roku ne dostavi izvještaj o bespravnim sječama, predmetni izvještaj je dužna sačiniti kantonalna uprava na osnovu kojeg šumarski inspektor donosi rješenje o naknadi štete iz stava (2) ovog člana. Kantonalna uprava je dužna sačiniti izvještaj o bespravnim sječama i dostaviti ga šumarskoj inspekciji u roku od 15 dana od dana zaprimanja zahtjeva inspekcije.</w:t>
      </w:r>
      <w:r w:rsidRPr="00E33973">
        <w:rPr>
          <w:rFonts w:ascii="Arial" w:hAnsi="Arial" w:cs="Arial"/>
          <w:sz w:val="24"/>
          <w:szCs w:val="24"/>
          <w:lang w:val="hr-HR"/>
        </w:rPr>
        <w:t>”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Izmjena ovog člana nužno povlači i propisivanje kaznene odredbe za njegovo nepoštivanje pa se u članu 87. stav (1) dodaje nova tačka m) koja glasi:</w:t>
      </w:r>
    </w:p>
    <w:p w:rsidR="009E54CC" w:rsidRPr="00E33973" w:rsidRDefault="009E54CC" w:rsidP="009E54CC">
      <w:pPr>
        <w:tabs>
          <w:tab w:val="left" w:pos="2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„m) ne dostavlja izvještaj o bespravnim sječama, dostavlja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netačan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izvještaj o bespravnim sječama ili ne plaća nadoknadu štete za nezakonitu sječu (član 67. st. (2) i (3)).“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Izmjena ovog člana potrebna je radi uvođenja realne naknade za štetu, a u cilju poboljšanja rada čuvarske službe i zaštite šuma od nezakonitih sječa.</w:t>
      </w: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</w:t>
      </w:r>
      <w:r w:rsidR="009E54CC" w:rsidRPr="00E33973">
        <w:rPr>
          <w:rFonts w:ascii="Arial" w:eastAsia="Calibri" w:hAnsi="Arial" w:cs="Arial"/>
          <w:b/>
          <w:sz w:val="24"/>
          <w:szCs w:val="24"/>
          <w:lang w:val="hr-HR"/>
        </w:rPr>
        <w:t>X</w:t>
      </w: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II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Član 70. stav (3) Prijedloga zakona o šumama mijenja se i glasi: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„(3) Naknadu za općekorisne funkcije šume plaćaju i privredna društva i druga pravna lica koja obavljaju samostalno privrednu djelatnost i prodajom proizvoda i pružanjem </w:t>
      </w:r>
      <w:r w:rsidRPr="00E33973">
        <w:rPr>
          <w:rFonts w:ascii="Arial" w:eastAsia="Calibri" w:hAnsi="Arial" w:cs="Arial"/>
          <w:sz w:val="24"/>
          <w:szCs w:val="24"/>
          <w:lang w:val="hr-HR"/>
        </w:rPr>
        <w:lastRenderedPageBreak/>
        <w:t xml:space="preserve">usluga na tržištu ostvaruju dobiti, kao 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nerezidenti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koji ostvare dobit na teritoriji Federacije, od ostvarene dobiti u iznosu od 0,2%. Naknada se plaća prilikom plaćanja poreza na dobit nadležnom organu.“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Predmetno je potrebno radi efikasne kontrole od strane Porezne uprave Federacije BiH.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5705F4" w:rsidRPr="00E33973" w:rsidRDefault="005705F4" w:rsidP="005705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XXIII</w:t>
      </w:r>
    </w:p>
    <w:p w:rsidR="009E54CC" w:rsidRPr="00E33973" w:rsidRDefault="009E54CC" w:rsidP="005705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5705F4" w:rsidRPr="00E33973" w:rsidRDefault="005705F4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5705F4" w:rsidRPr="00E33973" w:rsidRDefault="005705F4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5705F4" w:rsidRPr="00E33973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77. stav (1) briše se tačke m).</w:t>
      </w:r>
    </w:p>
    <w:p w:rsidR="005705F4" w:rsidRPr="00E33973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Dosadašnje tačke n) i o) postaju tačke m) i n).</w:t>
      </w:r>
    </w:p>
    <w:p w:rsidR="005705F4" w:rsidRPr="00E33973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5705F4" w:rsidRPr="00E33973" w:rsidRDefault="005705F4" w:rsidP="005705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5705F4" w:rsidRPr="00E33973">
        <w:rPr>
          <w:rFonts w:ascii="Arial" w:eastAsia="Calibri" w:hAnsi="Arial" w:cs="Arial"/>
          <w:b/>
          <w:sz w:val="24"/>
          <w:szCs w:val="24"/>
          <w:lang w:val="hr-HR"/>
        </w:rPr>
        <w:t>IV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U članu 84. stav (1) iza tačke h) dodaje se nova tačka i) koja glasi: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„i) ne vrši </w:t>
      </w:r>
      <w:proofErr w:type="spellStart"/>
      <w:r w:rsidRPr="00E33973">
        <w:rPr>
          <w:rFonts w:ascii="Arial" w:eastAsia="Calibri" w:hAnsi="Arial" w:cs="Arial"/>
          <w:sz w:val="24"/>
          <w:szCs w:val="24"/>
          <w:lang w:val="hr-HR"/>
        </w:rPr>
        <w:t>klasiranje</w:t>
      </w:r>
      <w:proofErr w:type="spellEnd"/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 šumskih drvnih sortimenata u skladu sa važećim standardima (član 53. stav 7. tačka c);“</w:t>
      </w:r>
    </w:p>
    <w:p w:rsidR="009E54CC" w:rsidRPr="00E33973" w:rsidRDefault="00DE2CEB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D</w:t>
      </w:r>
      <w:bookmarkStart w:id="0" w:name="_GoBack"/>
      <w:bookmarkEnd w:id="0"/>
      <w:r w:rsidR="009E54CC" w:rsidRPr="00E33973">
        <w:rPr>
          <w:rFonts w:ascii="Arial" w:eastAsia="Calibri" w:hAnsi="Arial" w:cs="Arial"/>
          <w:sz w:val="24"/>
          <w:szCs w:val="24"/>
          <w:lang w:val="hr-HR"/>
        </w:rPr>
        <w:t>osadašnje tačke i), j) i k) postaju tačke: j), k) i l).</w:t>
      </w:r>
    </w:p>
    <w:p w:rsidR="009E54CC" w:rsidRPr="00E33973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>Obrazloženje: Predmetno je potrebno jer je izostavljeno u kaznenim odredbama Prijedloga zakona.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5705F4" w:rsidP="009E54CC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A453A8" w:rsidRPr="00E33973">
        <w:rPr>
          <w:rFonts w:ascii="Arial" w:eastAsia="Calibri" w:hAnsi="Arial" w:cs="Arial"/>
          <w:b/>
          <w:sz w:val="24"/>
          <w:szCs w:val="24"/>
          <w:lang w:val="hr-HR"/>
        </w:rPr>
        <w:t>V</w:t>
      </w:r>
    </w:p>
    <w:p w:rsidR="009E54CC" w:rsidRPr="00E33973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 xml:space="preserve">U članu </w:t>
      </w:r>
      <w:r w:rsidR="00F90DD3" w:rsidRPr="00E33973">
        <w:rPr>
          <w:rFonts w:ascii="Arial" w:hAnsi="Arial" w:cs="Arial"/>
          <w:sz w:val="24"/>
          <w:szCs w:val="24"/>
          <w:lang w:val="hr-HR"/>
        </w:rPr>
        <w:t>99. stav (2) iza tačke g) dodaju se nove tačke</w:t>
      </w:r>
      <w:r w:rsidRPr="00E33973">
        <w:rPr>
          <w:rFonts w:ascii="Arial" w:hAnsi="Arial" w:cs="Arial"/>
          <w:sz w:val="24"/>
          <w:szCs w:val="24"/>
          <w:lang w:val="hr-HR"/>
        </w:rPr>
        <w:t xml:space="preserve"> h) </w:t>
      </w:r>
      <w:r w:rsidR="00F90DD3" w:rsidRPr="00E33973">
        <w:rPr>
          <w:rFonts w:ascii="Arial" w:hAnsi="Arial" w:cs="Arial"/>
          <w:sz w:val="24"/>
          <w:szCs w:val="24"/>
          <w:lang w:val="hr-HR"/>
        </w:rPr>
        <w:t>i i) koje glase</w:t>
      </w:r>
      <w:r w:rsidRPr="00E33973">
        <w:rPr>
          <w:rFonts w:ascii="Arial" w:hAnsi="Arial" w:cs="Arial"/>
          <w:sz w:val="24"/>
          <w:szCs w:val="24"/>
          <w:lang w:val="hr-HR"/>
        </w:rPr>
        <w:t>:</w:t>
      </w: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“h) obavljanje izvještajno-prognoznih poslova u šuma</w:t>
      </w:r>
      <w:r w:rsidR="00F90DD3" w:rsidRPr="00E33973">
        <w:rPr>
          <w:rFonts w:ascii="Arial" w:hAnsi="Arial" w:cs="Arial"/>
          <w:sz w:val="24"/>
          <w:szCs w:val="24"/>
          <w:lang w:val="hr-HR"/>
        </w:rPr>
        <w:t>rstvu iz člana 38. ovog Zakona;</w:t>
      </w:r>
    </w:p>
    <w:p w:rsidR="00F90DD3" w:rsidRPr="00E33973" w:rsidRDefault="00F90DD3" w:rsidP="00F90DD3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 xml:space="preserve">izrada stručnog elaborata o opravdanosti formiranja </w:t>
      </w:r>
      <w:proofErr w:type="spellStart"/>
      <w:r w:rsidRPr="00E33973">
        <w:rPr>
          <w:rFonts w:ascii="Arial" w:hAnsi="Arial" w:cs="Arial"/>
          <w:sz w:val="24"/>
          <w:szCs w:val="24"/>
          <w:lang w:val="hr-HR"/>
        </w:rPr>
        <w:t>šumskoprivrednog</w:t>
      </w:r>
      <w:proofErr w:type="spellEnd"/>
      <w:r w:rsidRPr="00E33973">
        <w:rPr>
          <w:rFonts w:ascii="Arial" w:hAnsi="Arial" w:cs="Arial"/>
          <w:sz w:val="24"/>
          <w:szCs w:val="24"/>
          <w:lang w:val="hr-HR"/>
        </w:rPr>
        <w:t xml:space="preserve"> društva iz člana 53. stav (3) ovog zakona;“</w:t>
      </w: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90DD3" w:rsidRPr="00E33973" w:rsidRDefault="00F90DD3" w:rsidP="00F90DD3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hAnsi="Arial" w:cs="Arial"/>
          <w:sz w:val="24"/>
          <w:szCs w:val="24"/>
          <w:lang w:val="hr-HR"/>
        </w:rPr>
        <w:t>Dosadašnja tačke h) postaje tačka j).</w:t>
      </w:r>
    </w:p>
    <w:p w:rsidR="00F90DD3" w:rsidRPr="00E33973" w:rsidRDefault="00F90DD3" w:rsidP="009E54CC">
      <w:pPr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E33973">
        <w:rPr>
          <w:rFonts w:ascii="Arial" w:eastAsia="Calibri" w:hAnsi="Arial" w:cs="Arial"/>
          <w:sz w:val="24"/>
          <w:szCs w:val="24"/>
          <w:lang w:val="hr-HR"/>
        </w:rPr>
        <w:t xml:space="preserve">Obrazloženje: Institut za šumarstvo, kao naučno-istraživačka institucija, potrebno je da obavlja i ove poslove. </w:t>
      </w:r>
    </w:p>
    <w:p w:rsidR="009E54CC" w:rsidRPr="00E33973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 w:rsidRPr="00E33973">
        <w:rPr>
          <w:rFonts w:ascii="Arial" w:hAnsi="Arial" w:cs="Arial"/>
          <w:spacing w:val="1"/>
          <w:sz w:val="24"/>
          <w:szCs w:val="24"/>
          <w:lang w:val="hr-HR"/>
        </w:rPr>
        <w:t xml:space="preserve">U skladu sa prethodno navedenim, </w:t>
      </w:r>
      <w:r w:rsidRPr="00E33973">
        <w:rPr>
          <w:rFonts w:ascii="Arial" w:hAnsi="Arial" w:cs="Arial"/>
          <w:bCs/>
          <w:sz w:val="24"/>
          <w:szCs w:val="24"/>
          <w:lang w:val="hr-HR"/>
        </w:rPr>
        <w:t xml:space="preserve">Vladi Federacije BiH predlažemo usvajanje sljedećeg zaključka: </w:t>
      </w:r>
    </w:p>
    <w:p w:rsidR="009E54CC" w:rsidRPr="00E33973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B70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>Na osnovu člana 19. stav 4. Zakona o Vladi Federacije Bosne i Hercegovine („Službene novine Federacije BiH“, br. 1/94, 8/95, 58/02, 19/03, 2/06 i 8/06), Vlada Federacije Bosne i Hercegovine, na ____________ sjednici održanoj _______________, donosi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Z A K </w:t>
      </w:r>
      <w:proofErr w:type="spellStart"/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>LJ</w:t>
      </w:r>
      <w:proofErr w:type="spellEnd"/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U Č A K</w:t>
      </w: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Usvaja se Informacija Federalnog ministarstva poljoprivrede, vodoprivrede i šumarstva o „amandmanima na Prijedlog zakona o šumama“ koje je izradilo to ministarstvo. </w:t>
      </w:r>
    </w:p>
    <w:p w:rsidR="009E54CC" w:rsidRPr="00E33973" w:rsidRDefault="009E54CC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>Ovaj Zaključak stupa na snagu danom donošenja.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>V. broj:__________/2021</w:t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  <w:t xml:space="preserve">                             P R E M I J E R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>Sarajevo, __________/2021</w:t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  <w:t xml:space="preserve">         Fadil Novalić</w:t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E33973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:rsidR="009E54CC" w:rsidRPr="00E33973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E33973" w:rsidRDefault="009E54CC" w:rsidP="009E54C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9E54CC" w:rsidRPr="00E33973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2F7C43" w:rsidRPr="00E33973" w:rsidRDefault="002F7C43">
      <w:pPr>
        <w:rPr>
          <w:lang w:val="hr-HR"/>
        </w:rPr>
      </w:pPr>
    </w:p>
    <w:sectPr w:rsidR="002F7C43" w:rsidRPr="00E3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F9"/>
    <w:multiLevelType w:val="hybridMultilevel"/>
    <w:tmpl w:val="534AD1D2"/>
    <w:lvl w:ilvl="0" w:tplc="BEF2ECF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DD02424">
      <w:start w:val="1"/>
      <w:numFmt w:val="decimal"/>
      <w:lvlText w:val="(%4)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B2939"/>
    <w:multiLevelType w:val="hybridMultilevel"/>
    <w:tmpl w:val="1DE2E214"/>
    <w:lvl w:ilvl="0" w:tplc="0AF0F27C">
      <w:start w:val="2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320" w:hanging="360"/>
      </w:pPr>
    </w:lvl>
    <w:lvl w:ilvl="2" w:tplc="141A001B" w:tentative="1">
      <w:start w:val="1"/>
      <w:numFmt w:val="lowerRoman"/>
      <w:lvlText w:val="%3."/>
      <w:lvlJc w:val="right"/>
      <w:pPr>
        <w:ind w:left="5040" w:hanging="180"/>
      </w:pPr>
    </w:lvl>
    <w:lvl w:ilvl="3" w:tplc="141A000F" w:tentative="1">
      <w:start w:val="1"/>
      <w:numFmt w:val="decimal"/>
      <w:lvlText w:val="%4."/>
      <w:lvlJc w:val="left"/>
      <w:pPr>
        <w:ind w:left="5760" w:hanging="360"/>
      </w:pPr>
    </w:lvl>
    <w:lvl w:ilvl="4" w:tplc="141A0019" w:tentative="1">
      <w:start w:val="1"/>
      <w:numFmt w:val="lowerLetter"/>
      <w:lvlText w:val="%5."/>
      <w:lvlJc w:val="left"/>
      <w:pPr>
        <w:ind w:left="6480" w:hanging="360"/>
      </w:pPr>
    </w:lvl>
    <w:lvl w:ilvl="5" w:tplc="141A001B" w:tentative="1">
      <w:start w:val="1"/>
      <w:numFmt w:val="lowerRoman"/>
      <w:lvlText w:val="%6."/>
      <w:lvlJc w:val="right"/>
      <w:pPr>
        <w:ind w:left="7200" w:hanging="180"/>
      </w:pPr>
    </w:lvl>
    <w:lvl w:ilvl="6" w:tplc="141A000F" w:tentative="1">
      <w:start w:val="1"/>
      <w:numFmt w:val="decimal"/>
      <w:lvlText w:val="%7."/>
      <w:lvlJc w:val="left"/>
      <w:pPr>
        <w:ind w:left="7920" w:hanging="360"/>
      </w:pPr>
    </w:lvl>
    <w:lvl w:ilvl="7" w:tplc="141A0019" w:tentative="1">
      <w:start w:val="1"/>
      <w:numFmt w:val="lowerLetter"/>
      <w:lvlText w:val="%8."/>
      <w:lvlJc w:val="left"/>
      <w:pPr>
        <w:ind w:left="8640" w:hanging="360"/>
      </w:pPr>
    </w:lvl>
    <w:lvl w:ilvl="8" w:tplc="1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C8814CF"/>
    <w:multiLevelType w:val="hybridMultilevel"/>
    <w:tmpl w:val="51463C9A"/>
    <w:lvl w:ilvl="0" w:tplc="645CA7E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5B9BD5" w:themeColor="accen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18CA"/>
    <w:multiLevelType w:val="hybridMultilevel"/>
    <w:tmpl w:val="BF468D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C"/>
    <w:rsid w:val="000A2DB3"/>
    <w:rsid w:val="00203370"/>
    <w:rsid w:val="002F7C43"/>
    <w:rsid w:val="004B56E8"/>
    <w:rsid w:val="004B5944"/>
    <w:rsid w:val="00536E36"/>
    <w:rsid w:val="005705F4"/>
    <w:rsid w:val="005B3753"/>
    <w:rsid w:val="00685511"/>
    <w:rsid w:val="00790E79"/>
    <w:rsid w:val="008029C2"/>
    <w:rsid w:val="00921754"/>
    <w:rsid w:val="009E54CC"/>
    <w:rsid w:val="00A453A8"/>
    <w:rsid w:val="00B2540E"/>
    <w:rsid w:val="00B7057B"/>
    <w:rsid w:val="00CF79CB"/>
    <w:rsid w:val="00DE2CEB"/>
    <w:rsid w:val="00DE5A12"/>
    <w:rsid w:val="00E33973"/>
    <w:rsid w:val="00E37C27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4C0"/>
  <w15:chartTrackingRefBased/>
  <w15:docId w15:val="{F3D04C88-E0DC-4BE0-AB05-36D619E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4C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Gigic</dc:creator>
  <cp:keywords/>
  <dc:description/>
  <cp:lastModifiedBy>Dragana Divkovic</cp:lastModifiedBy>
  <cp:revision>4</cp:revision>
  <dcterms:created xsi:type="dcterms:W3CDTF">2021-12-06T08:37:00Z</dcterms:created>
  <dcterms:modified xsi:type="dcterms:W3CDTF">2021-12-07T07:17:00Z</dcterms:modified>
</cp:coreProperties>
</file>